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C2254" w14:textId="168E6D72" w:rsidR="00B55515" w:rsidRPr="00466FBF" w:rsidRDefault="00B55515" w:rsidP="00B55515">
      <w:pPr>
        <w:ind w:right="92"/>
        <w:rPr>
          <w:rFonts w:asciiTheme="minorHAnsi" w:hAnsiTheme="minorHAnsi" w:cstheme="minorHAnsi"/>
          <w:b/>
        </w:rPr>
      </w:pPr>
      <w:r w:rsidRPr="00466FBF">
        <w:rPr>
          <w:rFonts w:asciiTheme="minorHAnsi" w:hAnsiTheme="minorHAnsi" w:cstheme="minorHAnsi"/>
          <w:b/>
        </w:rPr>
        <w:t xml:space="preserve">Title: Application of “Design of Unrestrained Steel Beams (Lateral Torsional Buckling – </w:t>
      </w:r>
      <w:proofErr w:type="spellStart"/>
      <w:r w:rsidRPr="00466FBF">
        <w:rPr>
          <w:rFonts w:asciiTheme="minorHAnsi" w:hAnsiTheme="minorHAnsi" w:cstheme="minorHAnsi"/>
          <w:b/>
        </w:rPr>
        <w:t>Ltbapps</w:t>
      </w:r>
      <w:proofErr w:type="spellEnd"/>
      <w:r w:rsidRPr="00466FBF">
        <w:rPr>
          <w:rFonts w:asciiTheme="minorHAnsi" w:hAnsiTheme="minorHAnsi" w:cstheme="minorHAnsi"/>
          <w:b/>
        </w:rPr>
        <w:t>)” in the Steel Structure Design Course</w:t>
      </w:r>
    </w:p>
    <w:p w14:paraId="71097538" w14:textId="77777777" w:rsidR="00B55515" w:rsidRPr="00466FBF" w:rsidRDefault="00B55515" w:rsidP="00B55515">
      <w:pPr>
        <w:ind w:left="104" w:right="92"/>
        <w:rPr>
          <w:rFonts w:asciiTheme="minorHAnsi" w:hAnsiTheme="minorHAnsi" w:cstheme="minorHAnsi"/>
          <w:b/>
        </w:rPr>
      </w:pPr>
    </w:p>
    <w:p w14:paraId="38D968EC" w14:textId="452B357D" w:rsidR="00B55515" w:rsidRDefault="00B55515" w:rsidP="00466FB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66FBF">
        <w:rPr>
          <w:rFonts w:asciiTheme="minorHAnsi" w:hAnsiTheme="minorHAnsi" w:cstheme="minorHAnsi"/>
          <w:b/>
          <w:bCs/>
          <w:sz w:val="22"/>
          <w:szCs w:val="22"/>
        </w:rPr>
        <w:t>Group Leader:</w:t>
      </w:r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Alya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Fadhilah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binti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Khairil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Anwar, (Undergraduate), </w:t>
      </w:r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Bachelor of History, Faculty of Arts and Social Sciences, MARA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Universiti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Teknologi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Malaysia (UiTM)</w:t>
      </w:r>
    </w:p>
    <w:p w14:paraId="25AFC984" w14:textId="16694E32" w:rsidR="00466FBF" w:rsidRDefault="00466FBF" w:rsidP="00466FB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Email: </w:t>
      </w:r>
      <w:hyperlink r:id="rId4" w:history="1">
        <w:r w:rsidRPr="0094139C">
          <w:rPr>
            <w:rStyle w:val="Hyperlink"/>
            <w:rFonts w:asciiTheme="minorHAnsi" w:hAnsiTheme="minorHAnsi" w:cstheme="minorHAnsi"/>
            <w:sz w:val="22"/>
            <w:szCs w:val="22"/>
          </w:rPr>
          <w:t>alyafadhilah04@gmail.com</w:t>
        </w:r>
      </w:hyperlink>
    </w:p>
    <w:p w14:paraId="2FA97FAF" w14:textId="77777777" w:rsidR="00466FBF" w:rsidRPr="00466FBF" w:rsidRDefault="00466FBF" w:rsidP="00466FB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E4DEE94" w14:textId="7454F533" w:rsidR="00B55515" w:rsidRPr="00466FBF" w:rsidRDefault="00B55515" w:rsidP="00B55515">
      <w:pPr>
        <w:pStyle w:val="NormalWeb"/>
        <w:spacing w:before="0" w:beforeAutospacing="0" w:after="160" w:afterAutospacing="0"/>
        <w:rPr>
          <w:rFonts w:asciiTheme="minorHAnsi" w:hAnsiTheme="minorHAnsi" w:cstheme="minorHAnsi"/>
          <w:sz w:val="22"/>
          <w:szCs w:val="22"/>
        </w:rPr>
      </w:pPr>
      <w:r w:rsidRPr="00466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Member 1:</w:t>
      </w:r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Dayang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Qatrunnada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binti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Megat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Shah, (Undergraduate), </w:t>
      </w:r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Bachelor of History, Faculty of Arts and Social Sciences, MARA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Universiti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Teknologi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Malaysia (UiTM)</w:t>
      </w:r>
    </w:p>
    <w:p w14:paraId="20A5D77B" w14:textId="521BE488" w:rsidR="00B55515" w:rsidRPr="00466FBF" w:rsidRDefault="00B55515" w:rsidP="00B55515">
      <w:pPr>
        <w:pStyle w:val="NormalWeb"/>
        <w:spacing w:before="0" w:beforeAutospacing="0" w:after="160" w:afterAutospacing="0"/>
        <w:rPr>
          <w:rFonts w:asciiTheme="minorHAnsi" w:hAnsiTheme="minorHAnsi" w:cstheme="minorHAnsi"/>
          <w:sz w:val="22"/>
          <w:szCs w:val="22"/>
        </w:rPr>
      </w:pPr>
      <w:r w:rsidRPr="00466FBF">
        <w:rPr>
          <w:rFonts w:asciiTheme="minorHAnsi" w:hAnsiTheme="minorHAnsi" w:cstheme="minorHAnsi"/>
          <w:b/>
          <w:bCs/>
          <w:sz w:val="22"/>
          <w:szCs w:val="22"/>
        </w:rPr>
        <w:t>Member 2:</w:t>
      </w:r>
      <w:r w:rsidRPr="00466FBF">
        <w:rPr>
          <w:rFonts w:asciiTheme="minorHAnsi" w:hAnsiTheme="minorHAnsi" w:cstheme="minorHAnsi"/>
          <w:sz w:val="22"/>
          <w:szCs w:val="22"/>
        </w:rPr>
        <w:t xml:space="preserve"> Nur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Isandra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binti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sz w:val="22"/>
          <w:szCs w:val="22"/>
        </w:rPr>
        <w:t>Zulkarnain</w:t>
      </w:r>
      <w:proofErr w:type="spellEnd"/>
      <w:r w:rsidRPr="00466FBF">
        <w:rPr>
          <w:rFonts w:asciiTheme="minorHAnsi" w:hAnsiTheme="minorHAnsi" w:cstheme="minorHAnsi"/>
          <w:sz w:val="22"/>
          <w:szCs w:val="22"/>
        </w:rPr>
        <w:t xml:space="preserve">, (Undergraduate), </w:t>
      </w:r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Bachelor of History, Faculty of Arts and Social Sciences, MARA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Universiti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6FBF">
        <w:rPr>
          <w:rFonts w:asciiTheme="minorHAnsi" w:hAnsiTheme="minorHAnsi" w:cstheme="minorHAnsi"/>
          <w:color w:val="000000"/>
          <w:sz w:val="22"/>
          <w:szCs w:val="22"/>
        </w:rPr>
        <w:t>Teknologi</w:t>
      </w:r>
      <w:proofErr w:type="spellEnd"/>
      <w:r w:rsidRPr="00466FBF">
        <w:rPr>
          <w:rFonts w:asciiTheme="minorHAnsi" w:hAnsiTheme="minorHAnsi" w:cstheme="minorHAnsi"/>
          <w:color w:val="000000"/>
          <w:sz w:val="22"/>
          <w:szCs w:val="22"/>
        </w:rPr>
        <w:t xml:space="preserve"> Malaysia (UiTM)</w:t>
      </w:r>
    </w:p>
    <w:p w14:paraId="7C561C32" w14:textId="079B0A84" w:rsidR="008A584B" w:rsidRPr="00B55515" w:rsidRDefault="008A584B" w:rsidP="00B55515">
      <w:pPr>
        <w:spacing w:before="286"/>
        <w:ind w:left="93" w:right="94"/>
        <w:jc w:val="center"/>
        <w:rPr>
          <w:rFonts w:asciiTheme="minorHAnsi" w:hAnsiTheme="minorHAnsi"/>
          <w:i/>
        </w:rPr>
      </w:pPr>
    </w:p>
    <w:p w14:paraId="0E84A6A0" w14:textId="77777777" w:rsidR="008A584B" w:rsidRPr="00B55515" w:rsidRDefault="00B55515">
      <w:pPr>
        <w:pStyle w:val="Heading2"/>
        <w:rPr>
          <w:rFonts w:asciiTheme="minorHAnsi" w:hAnsiTheme="minorHAnsi"/>
          <w:sz w:val="22"/>
          <w:szCs w:val="22"/>
        </w:rPr>
      </w:pPr>
      <w:r w:rsidRPr="00B55515">
        <w:rPr>
          <w:rFonts w:asciiTheme="minorHAnsi" w:hAnsiTheme="minorHAnsi"/>
          <w:spacing w:val="-2"/>
          <w:sz w:val="22"/>
          <w:szCs w:val="22"/>
        </w:rPr>
        <w:t>Abstract</w:t>
      </w:r>
    </w:p>
    <w:p w14:paraId="143C49D0" w14:textId="77777777" w:rsidR="00B55515" w:rsidRPr="00B55515" w:rsidRDefault="00B55515">
      <w:pPr>
        <w:pStyle w:val="BodyText"/>
        <w:spacing w:before="60"/>
        <w:ind w:left="23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55515">
        <w:rPr>
          <w:rFonts w:asciiTheme="minorHAnsi" w:hAnsiTheme="minorHAnsi"/>
          <w:b/>
          <w:bCs/>
          <w:sz w:val="22"/>
          <w:szCs w:val="22"/>
        </w:rPr>
        <w:t>LTBApps</w:t>
      </w:r>
      <w:proofErr w:type="spellEnd"/>
      <w:r w:rsidRPr="00B55515">
        <w:rPr>
          <w:rFonts w:asciiTheme="minorHAnsi" w:hAnsiTheme="minorHAnsi"/>
          <w:sz w:val="22"/>
          <w:szCs w:val="22"/>
        </w:rPr>
        <w:t xml:space="preserve"> is an interactive digital application developed using the Canva AI platform to assist in the calculation of </w:t>
      </w:r>
      <w:r w:rsidRPr="00B55515">
        <w:rPr>
          <w:rFonts w:asciiTheme="minorHAnsi" w:hAnsiTheme="minorHAnsi"/>
          <w:b/>
          <w:bCs/>
          <w:sz w:val="22"/>
          <w:szCs w:val="22"/>
        </w:rPr>
        <w:t>Lateral Torsional Buckling (LTB)</w:t>
      </w:r>
      <w:r w:rsidRPr="00B55515">
        <w:rPr>
          <w:rFonts w:asciiTheme="minorHAnsi" w:hAnsiTheme="minorHAnsi"/>
          <w:sz w:val="22"/>
          <w:szCs w:val="22"/>
        </w:rPr>
        <w:t xml:space="preserve"> for steel structures in accordance with </w:t>
      </w:r>
      <w:r w:rsidRPr="00B55515">
        <w:rPr>
          <w:rFonts w:asciiTheme="minorHAnsi" w:hAnsiTheme="minorHAnsi"/>
          <w:b/>
          <w:bCs/>
          <w:sz w:val="22"/>
          <w:szCs w:val="22"/>
        </w:rPr>
        <w:t>Eurocode 3</w:t>
      </w:r>
      <w:r w:rsidRPr="00B55515">
        <w:rPr>
          <w:rFonts w:asciiTheme="minorHAnsi" w:hAnsiTheme="minorHAnsi"/>
          <w:sz w:val="22"/>
          <w:szCs w:val="22"/>
        </w:rPr>
        <w:t xml:space="preserve"> standards. LTB calculation is one of the complex sub-topics in the </w:t>
      </w:r>
      <w:r w:rsidRPr="00B55515">
        <w:rPr>
          <w:rFonts w:asciiTheme="minorHAnsi" w:hAnsiTheme="minorHAnsi"/>
          <w:b/>
          <w:bCs/>
          <w:sz w:val="22"/>
          <w:szCs w:val="22"/>
        </w:rPr>
        <w:t>Steel Structure Design</w:t>
      </w:r>
      <w:r w:rsidRPr="00B55515">
        <w:rPr>
          <w:rFonts w:asciiTheme="minorHAnsi" w:hAnsiTheme="minorHAnsi"/>
          <w:sz w:val="22"/>
          <w:szCs w:val="22"/>
        </w:rPr>
        <w:t xml:space="preserve"> course as it involves various parameters and lengthy formulae. This innovation aims to facilitate students, lecturers, and industry practitioners in performing calculations more rapidly, systematically, and in a user-friendly manner. The development methodology involved a literature review, calculation algorithm development, user interface design, and application testing using actual calculation examples. The results of the study indicate that the use of </w:t>
      </w:r>
      <w:proofErr w:type="spellStart"/>
      <w:r w:rsidRPr="00B55515">
        <w:rPr>
          <w:rFonts w:asciiTheme="minorHAnsi" w:hAnsiTheme="minorHAnsi"/>
          <w:sz w:val="22"/>
          <w:szCs w:val="22"/>
        </w:rPr>
        <w:t>LTBApps</w:t>
      </w:r>
      <w:proofErr w:type="spellEnd"/>
      <w:r w:rsidRPr="00B55515">
        <w:rPr>
          <w:rFonts w:asciiTheme="minorHAnsi" w:hAnsiTheme="minorHAnsi"/>
          <w:sz w:val="22"/>
          <w:szCs w:val="22"/>
        </w:rPr>
        <w:t xml:space="preserve"> successfully increased students' mean comprehension score from 3.66 to 4.16, representing an increase of 13.7%. In addition to saving time and reducing calculation errors, this application supports self-directed learning, mobile learning, and the digital transformation of TVET. This innovation has the potential to be expanded as a teaching aid and simulation tool within the field of steel structural design.</w:t>
      </w:r>
    </w:p>
    <w:p w14:paraId="1629E805" w14:textId="3D1300A2" w:rsidR="008A584B" w:rsidRDefault="00B55515">
      <w:pPr>
        <w:pStyle w:val="BodyText"/>
        <w:spacing w:before="60"/>
        <w:ind w:left="23"/>
        <w:jc w:val="both"/>
        <w:rPr>
          <w:rFonts w:asciiTheme="minorHAnsi" w:hAnsiTheme="minorHAnsi"/>
          <w:spacing w:val="-2"/>
          <w:sz w:val="22"/>
          <w:szCs w:val="22"/>
        </w:rPr>
      </w:pPr>
      <w:r w:rsidRPr="00B55515">
        <w:rPr>
          <w:rFonts w:asciiTheme="minorHAnsi" w:hAnsiTheme="minorHAnsi"/>
          <w:i/>
          <w:sz w:val="22"/>
          <w:szCs w:val="22"/>
        </w:rPr>
        <w:t>Keywords</w:t>
      </w:r>
      <w:r w:rsidRPr="00B55515">
        <w:rPr>
          <w:rFonts w:asciiTheme="minorHAnsi" w:hAnsiTheme="minorHAnsi"/>
          <w:sz w:val="22"/>
          <w:szCs w:val="22"/>
        </w:rPr>
        <w:t>: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Steel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Structure</w:t>
      </w:r>
      <w:r w:rsidRPr="00B55515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Design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(DCC40142),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steel,</w:t>
      </w:r>
      <w:r w:rsidRPr="00B55515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structure,</w:t>
      </w:r>
      <w:r w:rsidRPr="00B55515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design,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Eurocode</w:t>
      </w:r>
      <w:r w:rsidRPr="00B55515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3,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Lateral</w:t>
      </w:r>
      <w:r w:rsidRPr="00B55515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B55515">
        <w:rPr>
          <w:rFonts w:asciiTheme="minorHAnsi" w:hAnsiTheme="minorHAnsi"/>
          <w:sz w:val="22"/>
          <w:szCs w:val="22"/>
        </w:rPr>
        <w:t>Torsional</w:t>
      </w:r>
      <w:r w:rsidRPr="00B55515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B55515">
        <w:rPr>
          <w:rFonts w:asciiTheme="minorHAnsi" w:hAnsiTheme="minorHAnsi"/>
          <w:spacing w:val="-2"/>
          <w:sz w:val="22"/>
          <w:szCs w:val="22"/>
        </w:rPr>
        <w:t>Buckling</w:t>
      </w:r>
    </w:p>
    <w:p w14:paraId="1D0C0B0A" w14:textId="72103D58" w:rsidR="00B55515" w:rsidRDefault="00B55515">
      <w:pPr>
        <w:pStyle w:val="BodyText"/>
        <w:spacing w:before="60"/>
        <w:ind w:left="23"/>
        <w:jc w:val="both"/>
        <w:rPr>
          <w:rFonts w:asciiTheme="minorHAnsi" w:hAnsiTheme="minorHAnsi"/>
          <w:sz w:val="22"/>
          <w:szCs w:val="22"/>
        </w:rPr>
      </w:pPr>
    </w:p>
    <w:p w14:paraId="740E5A71" w14:textId="65B09C75" w:rsidR="00B55515" w:rsidRDefault="00B55515">
      <w:pPr>
        <w:pStyle w:val="BodyText"/>
        <w:spacing w:before="60"/>
        <w:ind w:left="23"/>
        <w:jc w:val="both"/>
        <w:rPr>
          <w:rFonts w:asciiTheme="minorHAnsi" w:hAnsiTheme="minorHAnsi"/>
          <w:sz w:val="22"/>
          <w:szCs w:val="22"/>
        </w:rPr>
      </w:pPr>
    </w:p>
    <w:p w14:paraId="2A5B6C80" w14:textId="77777777" w:rsidR="00BA2D56" w:rsidRPr="00C549B8" w:rsidRDefault="00BA2D56" w:rsidP="00466FBF">
      <w:pPr>
        <w:jc w:val="both"/>
        <w:rPr>
          <w:rFonts w:asciiTheme="minorHAnsi" w:hAnsiTheme="minorHAnsi" w:cstheme="minorHAnsi"/>
          <w:i/>
          <w:iCs/>
          <w:sz w:val="28"/>
          <w:szCs w:val="32"/>
        </w:rPr>
      </w:pPr>
      <w:r w:rsidRPr="00C549B8">
        <w:rPr>
          <w:rFonts w:asciiTheme="minorHAnsi" w:hAnsiTheme="minorHAnsi" w:cstheme="minorHAnsi"/>
          <w:b/>
          <w:bCs/>
          <w:szCs w:val="24"/>
        </w:rPr>
        <w:t>Disclaimer:</w:t>
      </w:r>
      <w:r w:rsidRPr="00C549B8">
        <w:rPr>
          <w:rFonts w:asciiTheme="minorHAnsi" w:hAnsiTheme="minorHAnsi" w:cstheme="minorHAnsi"/>
          <w:szCs w:val="24"/>
        </w:rPr>
        <w:t xml:space="preserve"> The abstract above is an original work from a previous innovation </w:t>
      </w:r>
      <w:proofErr w:type="spellStart"/>
      <w:r w:rsidRPr="00C549B8">
        <w:rPr>
          <w:rFonts w:asciiTheme="minorHAnsi" w:hAnsiTheme="minorHAnsi" w:cstheme="minorHAnsi"/>
          <w:szCs w:val="24"/>
        </w:rPr>
        <w:t>programme</w:t>
      </w:r>
      <w:proofErr w:type="spellEnd"/>
      <w:r w:rsidRPr="00C549B8">
        <w:rPr>
          <w:rFonts w:asciiTheme="minorHAnsi" w:hAnsiTheme="minorHAnsi" w:cstheme="minorHAnsi"/>
          <w:szCs w:val="24"/>
        </w:rPr>
        <w:t xml:space="preserve"> and is provided </w:t>
      </w:r>
      <w:r w:rsidRPr="00C549B8">
        <w:rPr>
          <w:rFonts w:asciiTheme="minorHAnsi" w:hAnsiTheme="minorHAnsi" w:cstheme="minorHAnsi"/>
          <w:b/>
          <w:bCs/>
          <w:szCs w:val="24"/>
        </w:rPr>
        <w:t>strictly as a formatting guide</w:t>
      </w:r>
      <w:r w:rsidRPr="00C549B8">
        <w:rPr>
          <w:rFonts w:asciiTheme="minorHAnsi" w:hAnsiTheme="minorHAnsi" w:cstheme="minorHAnsi"/>
          <w:szCs w:val="24"/>
        </w:rPr>
        <w:t xml:space="preserve">. To protect the original owner's copyright and confidentiality, all identifying details (names of the product, individuals, and institutions) have been disguised, and participants are strictly prohibited from copying or </w:t>
      </w:r>
      <w:proofErr w:type="spellStart"/>
      <w:r w:rsidRPr="00C549B8">
        <w:rPr>
          <w:rFonts w:asciiTheme="minorHAnsi" w:hAnsiTheme="minorHAnsi" w:cstheme="minorHAnsi"/>
          <w:szCs w:val="24"/>
        </w:rPr>
        <w:t>plagiarising</w:t>
      </w:r>
      <w:proofErr w:type="spellEnd"/>
      <w:r w:rsidRPr="00C549B8">
        <w:rPr>
          <w:rFonts w:asciiTheme="minorHAnsi" w:hAnsiTheme="minorHAnsi" w:cstheme="minorHAnsi"/>
          <w:szCs w:val="24"/>
        </w:rPr>
        <w:t xml:space="preserve"> this sample content. Additionally, this abstract serves as a reference to differentiate between the content requirements of an innovation competition abstract and a conference abstract. While an innovation abstract prioritizes practical problem-solving, commercial value, and marketability, a conference abstract focuses primarily on theoretical frameworks and methodologies. Th</w:t>
      </w:r>
      <w:bookmarkStart w:id="0" w:name="_GoBack"/>
      <w:bookmarkEnd w:id="0"/>
      <w:r w:rsidRPr="00C549B8">
        <w:rPr>
          <w:rFonts w:asciiTheme="minorHAnsi" w:hAnsiTheme="minorHAnsi" w:cstheme="minorHAnsi"/>
          <w:szCs w:val="24"/>
        </w:rPr>
        <w:t>erefore, if participants only require guidance on the formatting layout, this sample alone is sufficient.</w:t>
      </w:r>
    </w:p>
    <w:p w14:paraId="436F14A3" w14:textId="17778CC8" w:rsidR="00B55515" w:rsidRDefault="00B55515">
      <w:pPr>
        <w:pStyle w:val="BodyText"/>
        <w:spacing w:before="60"/>
        <w:ind w:left="23"/>
        <w:jc w:val="both"/>
        <w:rPr>
          <w:rFonts w:asciiTheme="minorHAnsi" w:hAnsiTheme="minorHAnsi"/>
          <w:sz w:val="22"/>
          <w:szCs w:val="22"/>
        </w:rPr>
      </w:pPr>
    </w:p>
    <w:sectPr w:rsidR="00B55515">
      <w:type w:val="continuous"/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84B"/>
    <w:rsid w:val="000A0BFF"/>
    <w:rsid w:val="00466FBF"/>
    <w:rsid w:val="00612B38"/>
    <w:rsid w:val="008A584B"/>
    <w:rsid w:val="00B55515"/>
    <w:rsid w:val="00B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7731"/>
  <w15:docId w15:val="{7242D566-C764-47FF-B0B7-9CF3BD68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93" w:right="9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5551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6F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8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yafadhilah0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WEI BOON</dc:creator>
  <cp:lastModifiedBy>aznirokhaizan basiran</cp:lastModifiedBy>
  <cp:revision>6</cp:revision>
  <dcterms:created xsi:type="dcterms:W3CDTF">2026-07-12T07:19:00Z</dcterms:created>
  <dcterms:modified xsi:type="dcterms:W3CDTF">2026-07-12T10:12:00Z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2019</vt:lpwstr>
  </property>
</Properties>
</file>